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25098" w14:textId="77777777" w:rsidR="00AF73D0" w:rsidRDefault="00AF73D0">
      <w:bookmarkStart w:id="0" w:name="_GoBack"/>
      <w:bookmarkEnd w:id="0"/>
    </w:p>
    <w:p w14:paraId="4267FE0F" w14:textId="77777777" w:rsidR="00F836EA" w:rsidRDefault="00F70598" w:rsidP="00F70598">
      <w:pPr>
        <w:rPr>
          <w:b/>
          <w:sz w:val="28"/>
          <w:szCs w:val="28"/>
        </w:rPr>
      </w:pPr>
      <w:r w:rsidRPr="00D46972">
        <w:rPr>
          <w:b/>
          <w:sz w:val="28"/>
          <w:szCs w:val="28"/>
        </w:rPr>
        <w:t>Press Release</w:t>
      </w:r>
      <w:r w:rsidR="00D46972" w:rsidRPr="00D46972">
        <w:rPr>
          <w:b/>
          <w:sz w:val="28"/>
          <w:szCs w:val="28"/>
        </w:rPr>
        <w:tab/>
      </w:r>
      <w:r w:rsidR="00D46972" w:rsidRPr="00D46972">
        <w:rPr>
          <w:b/>
          <w:sz w:val="28"/>
          <w:szCs w:val="28"/>
        </w:rPr>
        <w:tab/>
      </w:r>
      <w:r w:rsidR="00D46972" w:rsidRPr="00D46972">
        <w:rPr>
          <w:b/>
          <w:sz w:val="28"/>
          <w:szCs w:val="28"/>
        </w:rPr>
        <w:tab/>
      </w:r>
      <w:r w:rsidR="00D46972" w:rsidRPr="00D46972">
        <w:rPr>
          <w:b/>
          <w:sz w:val="28"/>
          <w:szCs w:val="28"/>
        </w:rPr>
        <w:tab/>
      </w:r>
      <w:r w:rsidR="00D46972" w:rsidRPr="00D46972">
        <w:rPr>
          <w:b/>
          <w:sz w:val="28"/>
          <w:szCs w:val="28"/>
        </w:rPr>
        <w:tab/>
      </w:r>
      <w:r w:rsidR="00D46972" w:rsidRPr="00D46972">
        <w:rPr>
          <w:b/>
          <w:sz w:val="28"/>
          <w:szCs w:val="28"/>
        </w:rPr>
        <w:tab/>
      </w:r>
      <w:r w:rsidR="00D46972" w:rsidRPr="00D46972">
        <w:rPr>
          <w:b/>
          <w:sz w:val="28"/>
          <w:szCs w:val="28"/>
        </w:rPr>
        <w:tab/>
      </w:r>
      <w:r w:rsidR="00D46972">
        <w:rPr>
          <w:b/>
          <w:sz w:val="28"/>
          <w:szCs w:val="28"/>
        </w:rPr>
        <w:t xml:space="preserve">      </w:t>
      </w:r>
    </w:p>
    <w:p w14:paraId="37B3FD13" w14:textId="08868C3E" w:rsidR="006F021D" w:rsidRPr="00F70598" w:rsidRDefault="006F021D" w:rsidP="00F70598">
      <w:pPr>
        <w:rPr>
          <w:b/>
          <w:sz w:val="24"/>
          <w:szCs w:val="24"/>
        </w:rPr>
      </w:pPr>
    </w:p>
    <w:p w14:paraId="0F008AE3" w14:textId="0EC4E78D" w:rsidR="00F70598" w:rsidRDefault="00DB0EDE" w:rsidP="00F718B2">
      <w:pPr>
        <w:jc w:val="center"/>
        <w:rPr>
          <w:b/>
          <w:color w:val="1F497D" w:themeColor="text2"/>
          <w:sz w:val="24"/>
          <w:szCs w:val="24"/>
        </w:rPr>
      </w:pPr>
      <w:r>
        <w:rPr>
          <w:b/>
          <w:color w:val="1F497D" w:themeColor="text2"/>
          <w:sz w:val="24"/>
          <w:szCs w:val="24"/>
        </w:rPr>
        <w:t>Value of bridging loans</w:t>
      </w:r>
      <w:r w:rsidR="0029280F">
        <w:rPr>
          <w:b/>
          <w:color w:val="1F497D" w:themeColor="text2"/>
          <w:sz w:val="24"/>
          <w:szCs w:val="24"/>
        </w:rPr>
        <w:t xml:space="preserve"> written</w:t>
      </w:r>
      <w:r>
        <w:rPr>
          <w:b/>
          <w:color w:val="1F497D" w:themeColor="text2"/>
          <w:sz w:val="24"/>
          <w:szCs w:val="24"/>
        </w:rPr>
        <w:t xml:space="preserve"> </w:t>
      </w:r>
      <w:r w:rsidR="00616FD0">
        <w:rPr>
          <w:b/>
          <w:color w:val="1F497D" w:themeColor="text2"/>
          <w:sz w:val="24"/>
          <w:szCs w:val="24"/>
        </w:rPr>
        <w:t xml:space="preserve">by ASTL members </w:t>
      </w:r>
      <w:r>
        <w:rPr>
          <w:b/>
          <w:color w:val="1F497D" w:themeColor="text2"/>
          <w:sz w:val="24"/>
          <w:szCs w:val="24"/>
        </w:rPr>
        <w:t>exceeds £3billion</w:t>
      </w:r>
      <w:r w:rsidR="0029280F">
        <w:rPr>
          <w:b/>
          <w:color w:val="1F497D" w:themeColor="text2"/>
          <w:sz w:val="24"/>
          <w:szCs w:val="24"/>
        </w:rPr>
        <w:t xml:space="preserve"> for the first time</w:t>
      </w:r>
    </w:p>
    <w:p w14:paraId="22DCD6CC" w14:textId="77777777" w:rsidR="006F021D" w:rsidRPr="00F718B2" w:rsidRDefault="006F021D" w:rsidP="00F70598">
      <w:pPr>
        <w:rPr>
          <w:b/>
          <w:color w:val="1F497D" w:themeColor="text2"/>
        </w:rPr>
      </w:pPr>
    </w:p>
    <w:p w14:paraId="793ABEFF" w14:textId="2E7BD05E" w:rsidR="000F63B7" w:rsidRPr="00D46972" w:rsidRDefault="006F021D" w:rsidP="00F718B2">
      <w:r w:rsidRPr="00D46972">
        <w:t xml:space="preserve">Figures </w:t>
      </w:r>
      <w:r w:rsidR="00DB0EDE" w:rsidRPr="00D46972">
        <w:t xml:space="preserve">on the size of the bridging market show no sign of any slowdown – instead they continue to gather pace. The figures for Q2 2017 are </w:t>
      </w:r>
      <w:r w:rsidRPr="00D46972">
        <w:t>compiled by the ASTL’s auditors from its bridging lender members</w:t>
      </w:r>
      <w:r w:rsidR="00DB0EDE" w:rsidRPr="00D46972">
        <w:t xml:space="preserve">. </w:t>
      </w:r>
      <w:r w:rsidRPr="00D46972">
        <w:t xml:space="preserve"> </w:t>
      </w:r>
      <w:r w:rsidR="00DB0EDE" w:rsidRPr="00D46972">
        <w:t xml:space="preserve"> </w:t>
      </w:r>
      <w:r w:rsidR="00E04F08" w:rsidRPr="00D46972">
        <w:t>The</w:t>
      </w:r>
      <w:r w:rsidR="000F553E" w:rsidRPr="00D46972">
        <w:t xml:space="preserve"> magic figure of £3billion of loans written </w:t>
      </w:r>
      <w:r w:rsidR="001809EB" w:rsidRPr="00D46972">
        <w:t xml:space="preserve">in a </w:t>
      </w:r>
      <w:r w:rsidR="000F553E" w:rsidRPr="00D46972">
        <w:t>year has finally been exceeded</w:t>
      </w:r>
      <w:r w:rsidR="00135F72" w:rsidRPr="00D46972">
        <w:t>;</w:t>
      </w:r>
      <w:r w:rsidR="001809EB" w:rsidRPr="00D46972">
        <w:t xml:space="preserve"> up from £2.8billion </w:t>
      </w:r>
      <w:r w:rsidR="00135F72" w:rsidRPr="00D46972">
        <w:t xml:space="preserve">for the year ended 31 </w:t>
      </w:r>
      <w:r w:rsidR="003E0F9A" w:rsidRPr="00D46972">
        <w:t>June</w:t>
      </w:r>
      <w:r w:rsidR="00135F72" w:rsidRPr="00D46972">
        <w:t xml:space="preserve"> 201</w:t>
      </w:r>
      <w:r w:rsidR="003E0F9A" w:rsidRPr="00D46972">
        <w:t>6</w:t>
      </w:r>
      <w:r w:rsidR="000F63B7" w:rsidRPr="00D46972">
        <w:t>.</w:t>
      </w:r>
    </w:p>
    <w:p w14:paraId="0119BA54" w14:textId="77777777" w:rsidR="0084705F" w:rsidRDefault="0084705F" w:rsidP="00F718B2"/>
    <w:p w14:paraId="71DF9CCA" w14:textId="423B8994" w:rsidR="00F70598" w:rsidRPr="00D46972" w:rsidRDefault="00F70598" w:rsidP="00F718B2">
      <w:r w:rsidRPr="00D46972">
        <w:t xml:space="preserve">Results for the quarter were excellent, showing sustained </w:t>
      </w:r>
      <w:proofErr w:type="gramStart"/>
      <w:r w:rsidRPr="00D46972">
        <w:t>positive growth</w:t>
      </w:r>
      <w:proofErr w:type="gramEnd"/>
      <w:r w:rsidRPr="00D46972">
        <w:t xml:space="preserve">.  </w:t>
      </w:r>
      <w:r w:rsidR="001809EB" w:rsidRPr="00D46972">
        <w:t xml:space="preserve">The quarter saw record highs for loans written </w:t>
      </w:r>
      <w:r w:rsidR="003E0F9A" w:rsidRPr="00D46972">
        <w:t xml:space="preserve">of </w:t>
      </w:r>
      <w:r w:rsidR="001809EB" w:rsidRPr="00D46972">
        <w:t>£875 million</w:t>
      </w:r>
      <w:r w:rsidR="003E0F9A" w:rsidRPr="00D46972">
        <w:t xml:space="preserve"> while</w:t>
      </w:r>
      <w:r w:rsidR="001809EB" w:rsidRPr="00D46972">
        <w:t xml:space="preserve"> applications received </w:t>
      </w:r>
      <w:r w:rsidR="003E0F9A" w:rsidRPr="00D46972">
        <w:t xml:space="preserve">totalled </w:t>
      </w:r>
      <w:r w:rsidR="001809EB" w:rsidRPr="00D46972">
        <w:t>£4.9 billion</w:t>
      </w:r>
      <w:r w:rsidR="003E0F9A" w:rsidRPr="00D46972">
        <w:t xml:space="preserve">. </w:t>
      </w:r>
      <w:r w:rsidRPr="00D46972">
        <w:t xml:space="preserve">Total loan books have bounced back, </w:t>
      </w:r>
      <w:r w:rsidR="006F021D" w:rsidRPr="00D46972">
        <w:t>with a rise of 5.8% compared to 31 March and 10.6% up on 3</w:t>
      </w:r>
      <w:r w:rsidR="003E0F9A" w:rsidRPr="00D46972">
        <w:t>0</w:t>
      </w:r>
      <w:r w:rsidR="006F021D" w:rsidRPr="00D46972">
        <w:t xml:space="preserve"> </w:t>
      </w:r>
      <w:r w:rsidR="003E0F9A" w:rsidRPr="00D46972">
        <w:t xml:space="preserve">June </w:t>
      </w:r>
      <w:r w:rsidR="006F021D" w:rsidRPr="00D46972">
        <w:t xml:space="preserve">2016, </w:t>
      </w:r>
      <w:r w:rsidRPr="00D46972">
        <w:t xml:space="preserve">but the pattern remains erratic.  </w:t>
      </w:r>
    </w:p>
    <w:p w14:paraId="2A8EDE1B" w14:textId="77777777" w:rsidR="006F021D" w:rsidRPr="00D46972" w:rsidRDefault="006F021D" w:rsidP="00F70598"/>
    <w:p w14:paraId="45EB7ADD" w14:textId="0FD926F2" w:rsidR="006F021D" w:rsidRPr="00D46972" w:rsidRDefault="006F021D" w:rsidP="00F70598">
      <w:r w:rsidRPr="00D46972">
        <w:t xml:space="preserve">The value of loans written </w:t>
      </w:r>
      <w:r w:rsidR="000F553E" w:rsidRPr="00D46972">
        <w:t>increase</w:t>
      </w:r>
      <w:r w:rsidR="0029280F" w:rsidRPr="00D46972">
        <w:t>d</w:t>
      </w:r>
      <w:r w:rsidR="000F553E" w:rsidRPr="00D46972">
        <w:t xml:space="preserve"> 12.1% on Q1 2017 and </w:t>
      </w:r>
      <w:r w:rsidR="001809EB" w:rsidRPr="00D46972">
        <w:t xml:space="preserve">up a remarkable </w:t>
      </w:r>
      <w:r w:rsidR="000F553E" w:rsidRPr="00D46972">
        <w:t>17.8% on Q1 2016.   Annual growth</w:t>
      </w:r>
      <w:r w:rsidR="0029280F" w:rsidRPr="00D46972">
        <w:t xml:space="preserve"> in loans written</w:t>
      </w:r>
      <w:r w:rsidR="000F553E" w:rsidRPr="00D46972">
        <w:t xml:space="preserve">, comparing the year ending June 2017 </w:t>
      </w:r>
      <w:r w:rsidR="0029280F" w:rsidRPr="00D46972">
        <w:t xml:space="preserve">to </w:t>
      </w:r>
      <w:r w:rsidR="000F553E" w:rsidRPr="00D46972">
        <w:t>June 2016</w:t>
      </w:r>
      <w:r w:rsidR="0029280F" w:rsidRPr="00D46972">
        <w:t>,</w:t>
      </w:r>
      <w:r w:rsidR="000F553E" w:rsidRPr="00D46972">
        <w:t xml:space="preserve"> showed a more modest 6.7% growth, but that’s not to be sneezed at in these tougher times.</w:t>
      </w:r>
    </w:p>
    <w:p w14:paraId="75D54DF1" w14:textId="77777777" w:rsidR="000F553E" w:rsidRPr="00D46972" w:rsidRDefault="000F553E" w:rsidP="00F70598"/>
    <w:p w14:paraId="131C18B4" w14:textId="7E27C754" w:rsidR="000F553E" w:rsidRPr="00D46972" w:rsidRDefault="000F553E" w:rsidP="00F70598">
      <w:r w:rsidRPr="00D46972">
        <w:t>The pace of increase in applications has</w:t>
      </w:r>
      <w:r w:rsidR="0029280F" w:rsidRPr="00D46972">
        <w:t xml:space="preserve"> increased a whopping 39.6% compared to the same quarter a year ago</w:t>
      </w:r>
      <w:r w:rsidRPr="00D46972">
        <w:t xml:space="preserve">, </w:t>
      </w:r>
      <w:r w:rsidR="007C33DD" w:rsidRPr="00D46972">
        <w:t>while</w:t>
      </w:r>
      <w:r w:rsidRPr="00D46972">
        <w:t xml:space="preserve"> </w:t>
      </w:r>
      <w:r w:rsidR="007C33DD" w:rsidRPr="00D46972">
        <w:t>t</w:t>
      </w:r>
      <w:r w:rsidRPr="00D46972">
        <w:t xml:space="preserve">he figures for the year ending June 2017 </w:t>
      </w:r>
      <w:r w:rsidR="007C33DD" w:rsidRPr="00D46972">
        <w:t xml:space="preserve">show an even greater increase of 56.6% </w:t>
      </w:r>
      <w:r w:rsidR="001809EB" w:rsidRPr="00D46972">
        <w:t xml:space="preserve">compared to </w:t>
      </w:r>
      <w:r w:rsidR="00135F72" w:rsidRPr="00D46972">
        <w:t>year ended</w:t>
      </w:r>
      <w:r w:rsidR="001809EB" w:rsidRPr="00D46972">
        <w:t xml:space="preserve"> </w:t>
      </w:r>
      <w:r w:rsidRPr="00D46972">
        <w:t>June 2016</w:t>
      </w:r>
      <w:r w:rsidR="007C33DD" w:rsidRPr="00D46972">
        <w:t xml:space="preserve">. </w:t>
      </w:r>
      <w:r w:rsidRPr="00D46972">
        <w:t xml:space="preserve"> </w:t>
      </w:r>
      <w:r w:rsidR="007C33DD" w:rsidRPr="00D46972">
        <w:t>Only the quarter-on-quarter application figures showed a minimal increase.</w:t>
      </w:r>
    </w:p>
    <w:p w14:paraId="37EC7880" w14:textId="77777777" w:rsidR="000F553E" w:rsidRPr="00D46972" w:rsidRDefault="000F553E" w:rsidP="00F70598"/>
    <w:p w14:paraId="05D78871" w14:textId="77777777" w:rsidR="000F553E" w:rsidRPr="00D46972" w:rsidRDefault="000F553E" w:rsidP="00F70598">
      <w:r w:rsidRPr="00D46972">
        <w:t xml:space="preserve">All this shows that the bridging industry remains in rude health.   </w:t>
      </w:r>
    </w:p>
    <w:p w14:paraId="389A0488" w14:textId="77777777" w:rsidR="006F021D" w:rsidRPr="00D46972" w:rsidRDefault="006F021D" w:rsidP="00F70598"/>
    <w:p w14:paraId="07ACB911" w14:textId="77777777" w:rsidR="00D81CF7" w:rsidRPr="00D46972" w:rsidRDefault="00D81CF7" w:rsidP="00D81CF7">
      <w:pPr>
        <w:spacing w:after="240"/>
      </w:pPr>
      <w:r w:rsidRPr="00D46972">
        <w:t>Benson Hersch, CEO of the ASTL says, “The increase in positivity shown by members in a recent sentiment survey seems to be reflected in the latest figures.   It remains to be seen how the ebb and flow of Brexit negotiations will affect the sector, but the market remains good</w:t>
      </w:r>
      <w:r w:rsidR="007C33DD" w:rsidRPr="00D46972">
        <w:t xml:space="preserve"> for the time being</w:t>
      </w:r>
      <w:r w:rsidRPr="00D46972">
        <w:t>.    Barring unexpected jolts to the economy, I expect a period of consolidation ahead, especially with the increasing likelihood of interest rate rises.”</w:t>
      </w:r>
    </w:p>
    <w:p w14:paraId="0844649F" w14:textId="77777777" w:rsidR="00D81CF7" w:rsidRPr="00D46972" w:rsidRDefault="00D81CF7" w:rsidP="00D81CF7">
      <w:pPr>
        <w:spacing w:after="240"/>
      </w:pPr>
      <w:r w:rsidRPr="00D46972">
        <w:t>These figures are taken from the responses from ASTL members, which include most of the key lenders in the bridging market.</w:t>
      </w:r>
    </w:p>
    <w:p w14:paraId="741E64E8" w14:textId="77777777" w:rsidR="00F82085" w:rsidRPr="00D46972" w:rsidRDefault="00F82085" w:rsidP="00F82085">
      <w:pPr>
        <w:rPr>
          <w:b/>
          <w:bCs/>
        </w:rPr>
      </w:pPr>
      <w:r w:rsidRPr="00D46972">
        <w:rPr>
          <w:b/>
          <w:bCs/>
        </w:rPr>
        <w:t>Highlighted trends:</w:t>
      </w:r>
    </w:p>
    <w:p w14:paraId="4D121064" w14:textId="77777777" w:rsidR="00F82085" w:rsidRPr="00D46972" w:rsidRDefault="00F82085" w:rsidP="00F82085">
      <w:pPr>
        <w:ind w:left="426" w:hanging="426"/>
      </w:pPr>
    </w:p>
    <w:tbl>
      <w:tblPr>
        <w:tblW w:w="8820" w:type="dxa"/>
        <w:tblInd w:w="93" w:type="dxa"/>
        <w:tblCellMar>
          <w:left w:w="0" w:type="dxa"/>
          <w:right w:w="0" w:type="dxa"/>
        </w:tblCellMar>
        <w:tblLook w:val="04A0" w:firstRow="1" w:lastRow="0" w:firstColumn="1" w:lastColumn="0" w:noHBand="0" w:noVBand="1"/>
      </w:tblPr>
      <w:tblGrid>
        <w:gridCol w:w="2709"/>
        <w:gridCol w:w="1933"/>
        <w:gridCol w:w="236"/>
        <w:gridCol w:w="1860"/>
        <w:gridCol w:w="236"/>
        <w:gridCol w:w="1846"/>
      </w:tblGrid>
      <w:tr w:rsidR="00F82085" w:rsidRPr="00D46972" w14:paraId="4F9BDE64" w14:textId="77777777" w:rsidTr="00F85F94">
        <w:trPr>
          <w:trHeight w:val="375"/>
        </w:trPr>
        <w:tc>
          <w:tcPr>
            <w:tcW w:w="2709" w:type="dxa"/>
            <w:noWrap/>
            <w:tcMar>
              <w:top w:w="0" w:type="dxa"/>
              <w:left w:w="108" w:type="dxa"/>
              <w:bottom w:w="0" w:type="dxa"/>
              <w:right w:w="108" w:type="dxa"/>
            </w:tcMar>
            <w:vAlign w:val="bottom"/>
            <w:hideMark/>
          </w:tcPr>
          <w:p w14:paraId="490BACC3" w14:textId="77777777" w:rsidR="00F82085" w:rsidRPr="00D46972" w:rsidRDefault="00F82085" w:rsidP="00F85F94">
            <w:pPr>
              <w:rPr>
                <w:rFonts w:ascii="Times New Roman" w:eastAsia="Times New Roman" w:hAnsi="Times New Roman"/>
                <w:lang w:eastAsia="en-GB"/>
              </w:rPr>
            </w:pPr>
          </w:p>
        </w:tc>
        <w:tc>
          <w:tcPr>
            <w:tcW w:w="19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EF85E9" w14:textId="77777777" w:rsidR="00F82085" w:rsidRPr="00D46972" w:rsidRDefault="00F82085" w:rsidP="00F85F94">
            <w:pPr>
              <w:jc w:val="center"/>
              <w:rPr>
                <w:b/>
                <w:bCs/>
                <w:color w:val="FF0000"/>
                <w:lang w:eastAsia="en-GB"/>
              </w:rPr>
            </w:pPr>
            <w:r w:rsidRPr="00D46972">
              <w:rPr>
                <w:b/>
                <w:bCs/>
                <w:color w:val="FF0000"/>
                <w:lang w:eastAsia="en-GB"/>
              </w:rPr>
              <w:t xml:space="preserve">Quarter ended  </w:t>
            </w:r>
          </w:p>
          <w:p w14:paraId="02F12A05" w14:textId="77777777" w:rsidR="00F82085" w:rsidRPr="00D46972" w:rsidRDefault="00F82085" w:rsidP="00F85F94">
            <w:pPr>
              <w:jc w:val="center"/>
              <w:rPr>
                <w:b/>
                <w:bCs/>
                <w:color w:val="FF0000"/>
                <w:lang w:eastAsia="en-GB"/>
              </w:rPr>
            </w:pPr>
            <w:r w:rsidRPr="00D46972">
              <w:rPr>
                <w:b/>
                <w:bCs/>
                <w:color w:val="000000"/>
                <w:lang w:eastAsia="en-GB"/>
              </w:rPr>
              <w:t xml:space="preserve">30 Jun 2017 </w:t>
            </w:r>
            <w:r w:rsidRPr="00D46972">
              <w:rPr>
                <w:b/>
                <w:bCs/>
                <w:color w:val="FF0000"/>
                <w:lang w:eastAsia="en-GB"/>
              </w:rPr>
              <w:t xml:space="preserve">compared to Quarter ended    </w:t>
            </w:r>
          </w:p>
          <w:p w14:paraId="78E5A448" w14:textId="77777777" w:rsidR="00F82085" w:rsidRPr="00D46972" w:rsidRDefault="00F82085" w:rsidP="00F85F94">
            <w:pPr>
              <w:jc w:val="center"/>
              <w:rPr>
                <w:b/>
                <w:bCs/>
                <w:color w:val="000000"/>
                <w:lang w:eastAsia="en-GB"/>
              </w:rPr>
            </w:pPr>
            <w:r w:rsidRPr="00D46972">
              <w:rPr>
                <w:b/>
                <w:bCs/>
                <w:color w:val="000000"/>
                <w:lang w:eastAsia="en-GB"/>
              </w:rPr>
              <w:t>31 Mar 2017</w:t>
            </w:r>
          </w:p>
        </w:tc>
        <w:tc>
          <w:tcPr>
            <w:tcW w:w="236" w:type="dxa"/>
            <w:noWrap/>
            <w:tcMar>
              <w:top w:w="0" w:type="dxa"/>
              <w:left w:w="108" w:type="dxa"/>
              <w:bottom w:w="0" w:type="dxa"/>
              <w:right w:w="108" w:type="dxa"/>
            </w:tcMar>
            <w:vAlign w:val="bottom"/>
          </w:tcPr>
          <w:p w14:paraId="1CDC4D48" w14:textId="77777777" w:rsidR="00F82085" w:rsidRPr="00D46972" w:rsidRDefault="00F82085" w:rsidP="00F85F94">
            <w:pPr>
              <w:jc w:val="center"/>
              <w:rPr>
                <w:b/>
                <w:bCs/>
                <w:color w:val="000000"/>
                <w:lang w:eastAsia="en-GB"/>
              </w:rPr>
            </w:pPr>
          </w:p>
        </w:tc>
        <w:tc>
          <w:tcPr>
            <w:tcW w:w="1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D7595" w14:textId="77777777" w:rsidR="00F82085" w:rsidRPr="00D46972" w:rsidRDefault="00F82085" w:rsidP="00F85F94">
            <w:pPr>
              <w:jc w:val="center"/>
              <w:rPr>
                <w:b/>
                <w:bCs/>
                <w:color w:val="FF0000"/>
                <w:lang w:eastAsia="en-GB"/>
              </w:rPr>
            </w:pPr>
            <w:r w:rsidRPr="00D46972">
              <w:rPr>
                <w:b/>
                <w:bCs/>
                <w:color w:val="FF0000"/>
                <w:lang w:eastAsia="en-GB"/>
              </w:rPr>
              <w:t xml:space="preserve">Quarter ended  </w:t>
            </w:r>
          </w:p>
          <w:p w14:paraId="2FE4B856" w14:textId="77777777" w:rsidR="00F82085" w:rsidRPr="00D46972" w:rsidRDefault="00F82085" w:rsidP="00F85F94">
            <w:pPr>
              <w:jc w:val="center"/>
              <w:rPr>
                <w:b/>
                <w:bCs/>
                <w:color w:val="FF0000"/>
                <w:lang w:eastAsia="en-GB"/>
              </w:rPr>
            </w:pPr>
            <w:r w:rsidRPr="00D46972">
              <w:rPr>
                <w:b/>
                <w:bCs/>
                <w:color w:val="000000"/>
                <w:lang w:eastAsia="en-GB"/>
              </w:rPr>
              <w:t xml:space="preserve">30 Jun 2017 </w:t>
            </w:r>
            <w:r w:rsidRPr="00D46972">
              <w:rPr>
                <w:b/>
                <w:bCs/>
                <w:color w:val="FF0000"/>
                <w:lang w:eastAsia="en-GB"/>
              </w:rPr>
              <w:t xml:space="preserve">compared to Quarter ended    </w:t>
            </w:r>
          </w:p>
          <w:p w14:paraId="74808199" w14:textId="77777777" w:rsidR="00F82085" w:rsidRPr="00D46972" w:rsidRDefault="00F82085" w:rsidP="00F85F94">
            <w:pPr>
              <w:jc w:val="center"/>
              <w:rPr>
                <w:b/>
                <w:bCs/>
                <w:color w:val="000000"/>
                <w:lang w:eastAsia="en-GB"/>
              </w:rPr>
            </w:pPr>
            <w:r w:rsidRPr="00D46972">
              <w:rPr>
                <w:b/>
                <w:bCs/>
                <w:color w:val="000000"/>
                <w:lang w:eastAsia="en-GB"/>
              </w:rPr>
              <w:t>30 Jun 2016</w:t>
            </w:r>
          </w:p>
        </w:tc>
        <w:tc>
          <w:tcPr>
            <w:tcW w:w="236" w:type="dxa"/>
            <w:noWrap/>
            <w:tcMar>
              <w:top w:w="0" w:type="dxa"/>
              <w:left w:w="108" w:type="dxa"/>
              <w:bottom w:w="0" w:type="dxa"/>
              <w:right w:w="108" w:type="dxa"/>
            </w:tcMar>
            <w:vAlign w:val="bottom"/>
          </w:tcPr>
          <w:p w14:paraId="00F8B9EE" w14:textId="77777777" w:rsidR="00F82085" w:rsidRPr="00D46972" w:rsidRDefault="00F82085" w:rsidP="00F85F94">
            <w:pPr>
              <w:rPr>
                <w:color w:val="000000"/>
                <w:lang w:eastAsia="en-GB"/>
              </w:rPr>
            </w:pPr>
          </w:p>
        </w:tc>
        <w:tc>
          <w:tcPr>
            <w:tcW w:w="18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018FF0" w14:textId="77777777" w:rsidR="00F82085" w:rsidRPr="00D46972" w:rsidRDefault="00F82085" w:rsidP="00F85F94">
            <w:pPr>
              <w:jc w:val="center"/>
              <w:rPr>
                <w:b/>
                <w:bCs/>
                <w:color w:val="FF0000"/>
                <w:lang w:eastAsia="en-GB"/>
              </w:rPr>
            </w:pPr>
            <w:r w:rsidRPr="00D46972">
              <w:rPr>
                <w:b/>
                <w:bCs/>
                <w:color w:val="FF0000"/>
                <w:lang w:eastAsia="en-GB"/>
              </w:rPr>
              <w:t xml:space="preserve">Year ended  </w:t>
            </w:r>
          </w:p>
          <w:p w14:paraId="13FBD809" w14:textId="77777777" w:rsidR="00F82085" w:rsidRPr="00D46972" w:rsidRDefault="00F82085" w:rsidP="00F85F94">
            <w:pPr>
              <w:jc w:val="center"/>
              <w:rPr>
                <w:b/>
                <w:bCs/>
                <w:color w:val="FF0000"/>
                <w:lang w:eastAsia="en-GB"/>
              </w:rPr>
            </w:pPr>
            <w:r w:rsidRPr="00D46972">
              <w:rPr>
                <w:b/>
                <w:bCs/>
                <w:color w:val="000000"/>
                <w:lang w:eastAsia="en-GB"/>
              </w:rPr>
              <w:t xml:space="preserve">30 Jun 2017 </w:t>
            </w:r>
            <w:r w:rsidRPr="00D46972">
              <w:rPr>
                <w:b/>
                <w:bCs/>
                <w:color w:val="FF0000"/>
                <w:lang w:eastAsia="en-GB"/>
              </w:rPr>
              <w:t xml:space="preserve">compared to Year ended </w:t>
            </w:r>
          </w:p>
          <w:p w14:paraId="3F9B9B26" w14:textId="77777777" w:rsidR="00F82085" w:rsidRPr="00D46972" w:rsidRDefault="00F82085" w:rsidP="00F85F94">
            <w:pPr>
              <w:jc w:val="center"/>
              <w:rPr>
                <w:b/>
                <w:bCs/>
                <w:lang w:eastAsia="en-GB"/>
              </w:rPr>
            </w:pPr>
            <w:r w:rsidRPr="00D46972">
              <w:rPr>
                <w:b/>
                <w:bCs/>
                <w:lang w:eastAsia="en-GB"/>
              </w:rPr>
              <w:t>30 Jun 2016</w:t>
            </w:r>
          </w:p>
        </w:tc>
      </w:tr>
      <w:tr w:rsidR="00F82085" w:rsidRPr="00D46972" w14:paraId="62C1CE18" w14:textId="77777777" w:rsidTr="00F85F94">
        <w:trPr>
          <w:trHeight w:val="82"/>
        </w:trPr>
        <w:tc>
          <w:tcPr>
            <w:tcW w:w="2709" w:type="dxa"/>
            <w:noWrap/>
            <w:tcMar>
              <w:top w:w="0" w:type="dxa"/>
              <w:left w:w="108" w:type="dxa"/>
              <w:bottom w:w="0" w:type="dxa"/>
              <w:right w:w="108" w:type="dxa"/>
            </w:tcMar>
            <w:vAlign w:val="bottom"/>
            <w:hideMark/>
          </w:tcPr>
          <w:p w14:paraId="29AF7726" w14:textId="77777777" w:rsidR="00F82085" w:rsidRPr="00D46972" w:rsidRDefault="00F82085" w:rsidP="00F85F94">
            <w:pPr>
              <w:rPr>
                <w:rFonts w:ascii="Times New Roman" w:eastAsia="Times New Roman" w:hAnsi="Times New Roman"/>
                <w:lang w:eastAsia="en-GB"/>
              </w:rPr>
            </w:pPr>
          </w:p>
        </w:tc>
        <w:tc>
          <w:tcPr>
            <w:tcW w:w="1933" w:type="dxa"/>
            <w:noWrap/>
            <w:tcMar>
              <w:top w:w="0" w:type="dxa"/>
              <w:left w:w="108" w:type="dxa"/>
              <w:bottom w:w="0" w:type="dxa"/>
              <w:right w:w="108" w:type="dxa"/>
            </w:tcMar>
            <w:vAlign w:val="bottom"/>
            <w:hideMark/>
          </w:tcPr>
          <w:p w14:paraId="4B7AB7F5" w14:textId="77777777" w:rsidR="00F82085" w:rsidRPr="00D46972" w:rsidRDefault="00F82085" w:rsidP="00F85F94">
            <w:pPr>
              <w:rPr>
                <w:rFonts w:ascii="Times New Roman" w:eastAsia="Times New Roman" w:hAnsi="Times New Roman"/>
                <w:lang w:eastAsia="en-GB"/>
              </w:rPr>
            </w:pPr>
          </w:p>
        </w:tc>
        <w:tc>
          <w:tcPr>
            <w:tcW w:w="236" w:type="dxa"/>
            <w:noWrap/>
            <w:tcMar>
              <w:top w:w="0" w:type="dxa"/>
              <w:left w:w="108" w:type="dxa"/>
              <w:bottom w:w="0" w:type="dxa"/>
              <w:right w:w="108" w:type="dxa"/>
            </w:tcMar>
            <w:vAlign w:val="bottom"/>
            <w:hideMark/>
          </w:tcPr>
          <w:p w14:paraId="3DF012F6" w14:textId="77777777" w:rsidR="00F82085" w:rsidRPr="00D46972" w:rsidRDefault="00F82085" w:rsidP="00F85F94">
            <w:pPr>
              <w:rPr>
                <w:rFonts w:ascii="Times New Roman" w:eastAsia="Times New Roman" w:hAnsi="Times New Roman"/>
                <w:lang w:eastAsia="en-GB"/>
              </w:rPr>
            </w:pPr>
          </w:p>
        </w:tc>
        <w:tc>
          <w:tcPr>
            <w:tcW w:w="1860" w:type="dxa"/>
            <w:noWrap/>
            <w:tcMar>
              <w:top w:w="0" w:type="dxa"/>
              <w:left w:w="108" w:type="dxa"/>
              <w:bottom w:w="0" w:type="dxa"/>
              <w:right w:w="108" w:type="dxa"/>
            </w:tcMar>
            <w:vAlign w:val="bottom"/>
            <w:hideMark/>
          </w:tcPr>
          <w:p w14:paraId="3E1442DB" w14:textId="77777777" w:rsidR="00F82085" w:rsidRPr="00D46972" w:rsidRDefault="00F82085" w:rsidP="00F85F94">
            <w:pPr>
              <w:rPr>
                <w:rFonts w:ascii="Times New Roman" w:eastAsia="Times New Roman" w:hAnsi="Times New Roman"/>
                <w:lang w:eastAsia="en-GB"/>
              </w:rPr>
            </w:pPr>
          </w:p>
        </w:tc>
        <w:tc>
          <w:tcPr>
            <w:tcW w:w="236" w:type="dxa"/>
            <w:noWrap/>
            <w:tcMar>
              <w:top w:w="0" w:type="dxa"/>
              <w:left w:w="108" w:type="dxa"/>
              <w:bottom w:w="0" w:type="dxa"/>
              <w:right w:w="108" w:type="dxa"/>
            </w:tcMar>
            <w:vAlign w:val="bottom"/>
            <w:hideMark/>
          </w:tcPr>
          <w:p w14:paraId="2A559D15" w14:textId="77777777" w:rsidR="00F82085" w:rsidRPr="00D46972" w:rsidRDefault="00F82085" w:rsidP="00F85F94">
            <w:pPr>
              <w:rPr>
                <w:rFonts w:ascii="Times New Roman" w:eastAsia="Times New Roman" w:hAnsi="Times New Roman"/>
                <w:lang w:eastAsia="en-GB"/>
              </w:rPr>
            </w:pPr>
          </w:p>
        </w:tc>
        <w:tc>
          <w:tcPr>
            <w:tcW w:w="1846" w:type="dxa"/>
            <w:noWrap/>
            <w:tcMar>
              <w:top w:w="0" w:type="dxa"/>
              <w:left w:w="108" w:type="dxa"/>
              <w:bottom w:w="0" w:type="dxa"/>
              <w:right w:w="108" w:type="dxa"/>
            </w:tcMar>
            <w:vAlign w:val="bottom"/>
            <w:hideMark/>
          </w:tcPr>
          <w:p w14:paraId="3177FA15" w14:textId="77777777" w:rsidR="00F82085" w:rsidRPr="00D46972" w:rsidRDefault="00F82085" w:rsidP="00F85F94">
            <w:pPr>
              <w:rPr>
                <w:rFonts w:ascii="Times New Roman" w:eastAsia="Times New Roman" w:hAnsi="Times New Roman"/>
                <w:lang w:eastAsia="en-GB"/>
              </w:rPr>
            </w:pPr>
          </w:p>
        </w:tc>
      </w:tr>
      <w:tr w:rsidR="00F82085" w:rsidRPr="00D46972" w14:paraId="05B8FEB7" w14:textId="77777777" w:rsidTr="00F85F94">
        <w:trPr>
          <w:trHeight w:val="375"/>
        </w:trPr>
        <w:tc>
          <w:tcPr>
            <w:tcW w:w="27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0C6016" w14:textId="77777777" w:rsidR="00F82085" w:rsidRPr="00D46972" w:rsidRDefault="00F82085" w:rsidP="00F85F94">
            <w:pPr>
              <w:jc w:val="center"/>
              <w:rPr>
                <w:b/>
                <w:bCs/>
                <w:color w:val="000000"/>
                <w:lang w:eastAsia="en-GB"/>
              </w:rPr>
            </w:pPr>
            <w:r w:rsidRPr="00D46972">
              <w:rPr>
                <w:b/>
                <w:bCs/>
                <w:color w:val="000000"/>
                <w:lang w:eastAsia="en-GB"/>
              </w:rPr>
              <w:t>Loans written (£)</w:t>
            </w:r>
          </w:p>
        </w:tc>
        <w:tc>
          <w:tcPr>
            <w:tcW w:w="19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CEFF04" w14:textId="77777777" w:rsidR="00F82085" w:rsidRPr="00D46972" w:rsidRDefault="00F82085" w:rsidP="00F85F94">
            <w:pPr>
              <w:jc w:val="center"/>
              <w:rPr>
                <w:b/>
                <w:bCs/>
                <w:color w:val="000000"/>
                <w:lang w:eastAsia="en-GB"/>
              </w:rPr>
            </w:pPr>
            <w:r w:rsidRPr="00D46972">
              <w:rPr>
                <w:b/>
                <w:bCs/>
                <w:color w:val="000000"/>
                <w:lang w:eastAsia="en-GB"/>
              </w:rPr>
              <w:t>+12.1%</w:t>
            </w:r>
          </w:p>
        </w:tc>
        <w:tc>
          <w:tcPr>
            <w:tcW w:w="236" w:type="dxa"/>
            <w:noWrap/>
            <w:tcMar>
              <w:top w:w="0" w:type="dxa"/>
              <w:left w:w="108" w:type="dxa"/>
              <w:bottom w:w="0" w:type="dxa"/>
              <w:right w:w="108" w:type="dxa"/>
            </w:tcMar>
            <w:vAlign w:val="bottom"/>
            <w:hideMark/>
          </w:tcPr>
          <w:p w14:paraId="6119F9D1" w14:textId="77777777" w:rsidR="00F82085" w:rsidRPr="00D46972" w:rsidRDefault="00F82085" w:rsidP="00F85F94">
            <w:pPr>
              <w:rPr>
                <w:rFonts w:ascii="Times New Roman" w:eastAsia="Times New Roman" w:hAnsi="Times New Roman"/>
                <w:lang w:eastAsia="en-GB"/>
              </w:rPr>
            </w:pPr>
          </w:p>
        </w:tc>
        <w:tc>
          <w:tcPr>
            <w:tcW w:w="1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91BE10" w14:textId="77777777" w:rsidR="00F82085" w:rsidRPr="00D46972" w:rsidRDefault="00F82085" w:rsidP="00F85F94">
            <w:pPr>
              <w:rPr>
                <w:b/>
                <w:bCs/>
                <w:color w:val="000000"/>
                <w:lang w:eastAsia="en-GB"/>
              </w:rPr>
            </w:pPr>
            <w:r w:rsidRPr="00D46972">
              <w:rPr>
                <w:b/>
                <w:bCs/>
                <w:color w:val="FF0000"/>
                <w:lang w:eastAsia="en-GB"/>
              </w:rPr>
              <w:t xml:space="preserve">     </w:t>
            </w:r>
            <w:r w:rsidRPr="00D46972">
              <w:rPr>
                <w:b/>
                <w:bCs/>
                <w:lang w:eastAsia="en-GB"/>
              </w:rPr>
              <w:t xml:space="preserve"> + </w:t>
            </w:r>
            <w:r w:rsidRPr="00D46972">
              <w:rPr>
                <w:b/>
                <w:bCs/>
                <w:color w:val="000000"/>
                <w:lang w:eastAsia="en-GB"/>
              </w:rPr>
              <w:t>17.8%</w:t>
            </w:r>
          </w:p>
        </w:tc>
        <w:tc>
          <w:tcPr>
            <w:tcW w:w="236" w:type="dxa"/>
            <w:noWrap/>
            <w:tcMar>
              <w:top w:w="0" w:type="dxa"/>
              <w:left w:w="108" w:type="dxa"/>
              <w:bottom w:w="0" w:type="dxa"/>
              <w:right w:w="108" w:type="dxa"/>
            </w:tcMar>
            <w:vAlign w:val="bottom"/>
            <w:hideMark/>
          </w:tcPr>
          <w:p w14:paraId="3E353E4F" w14:textId="77777777" w:rsidR="00F82085" w:rsidRPr="00D46972" w:rsidRDefault="00F82085" w:rsidP="00F85F94">
            <w:pPr>
              <w:rPr>
                <w:rFonts w:ascii="Times New Roman" w:eastAsia="Times New Roman" w:hAnsi="Times New Roman"/>
                <w:lang w:eastAsia="en-GB"/>
              </w:rPr>
            </w:pPr>
          </w:p>
        </w:tc>
        <w:tc>
          <w:tcPr>
            <w:tcW w:w="18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43604" w14:textId="77777777" w:rsidR="00F82085" w:rsidRPr="00D46972" w:rsidRDefault="00F82085" w:rsidP="00F85F94">
            <w:pPr>
              <w:rPr>
                <w:b/>
                <w:bCs/>
                <w:lang w:eastAsia="en-GB"/>
              </w:rPr>
            </w:pPr>
            <w:r w:rsidRPr="00D46972">
              <w:rPr>
                <w:b/>
                <w:bCs/>
                <w:lang w:eastAsia="en-GB"/>
              </w:rPr>
              <w:t>     +6.7%</w:t>
            </w:r>
          </w:p>
        </w:tc>
      </w:tr>
      <w:tr w:rsidR="00F82085" w:rsidRPr="00D46972" w14:paraId="5FC538A0" w14:textId="77777777" w:rsidTr="00F85F94">
        <w:trPr>
          <w:trHeight w:val="70"/>
        </w:trPr>
        <w:tc>
          <w:tcPr>
            <w:tcW w:w="2709" w:type="dxa"/>
            <w:noWrap/>
            <w:tcMar>
              <w:top w:w="0" w:type="dxa"/>
              <w:left w:w="108" w:type="dxa"/>
              <w:bottom w:w="0" w:type="dxa"/>
              <w:right w:w="108" w:type="dxa"/>
            </w:tcMar>
            <w:vAlign w:val="bottom"/>
            <w:hideMark/>
          </w:tcPr>
          <w:p w14:paraId="25105BFE" w14:textId="77777777" w:rsidR="00F82085" w:rsidRPr="00D46972" w:rsidRDefault="00F82085" w:rsidP="00F85F94">
            <w:pPr>
              <w:rPr>
                <w:rFonts w:ascii="Times New Roman" w:eastAsia="Times New Roman" w:hAnsi="Times New Roman"/>
                <w:lang w:eastAsia="en-GB"/>
              </w:rPr>
            </w:pPr>
          </w:p>
        </w:tc>
        <w:tc>
          <w:tcPr>
            <w:tcW w:w="1933" w:type="dxa"/>
            <w:noWrap/>
            <w:tcMar>
              <w:top w:w="0" w:type="dxa"/>
              <w:left w:w="108" w:type="dxa"/>
              <w:bottom w:w="0" w:type="dxa"/>
              <w:right w:w="108" w:type="dxa"/>
            </w:tcMar>
            <w:vAlign w:val="bottom"/>
          </w:tcPr>
          <w:p w14:paraId="7FA5EADF" w14:textId="77777777" w:rsidR="00F82085" w:rsidRPr="00D46972" w:rsidRDefault="00F82085" w:rsidP="00F85F94">
            <w:pPr>
              <w:jc w:val="center"/>
              <w:rPr>
                <w:b/>
                <w:bCs/>
                <w:color w:val="000000"/>
                <w:lang w:eastAsia="en-GB"/>
              </w:rPr>
            </w:pPr>
          </w:p>
        </w:tc>
        <w:tc>
          <w:tcPr>
            <w:tcW w:w="236" w:type="dxa"/>
            <w:noWrap/>
            <w:tcMar>
              <w:top w:w="0" w:type="dxa"/>
              <w:left w:w="108" w:type="dxa"/>
              <w:bottom w:w="0" w:type="dxa"/>
              <w:right w:w="108" w:type="dxa"/>
            </w:tcMar>
            <w:vAlign w:val="bottom"/>
            <w:hideMark/>
          </w:tcPr>
          <w:p w14:paraId="1B3077C8" w14:textId="77777777" w:rsidR="00F82085" w:rsidRPr="00D46972" w:rsidRDefault="00F82085" w:rsidP="00F85F94">
            <w:pPr>
              <w:rPr>
                <w:rFonts w:ascii="Times New Roman" w:eastAsia="Times New Roman" w:hAnsi="Times New Roman"/>
                <w:lang w:eastAsia="en-GB"/>
              </w:rPr>
            </w:pPr>
          </w:p>
        </w:tc>
        <w:tc>
          <w:tcPr>
            <w:tcW w:w="1860" w:type="dxa"/>
            <w:noWrap/>
            <w:tcMar>
              <w:top w:w="0" w:type="dxa"/>
              <w:left w:w="108" w:type="dxa"/>
              <w:bottom w:w="0" w:type="dxa"/>
              <w:right w:w="108" w:type="dxa"/>
            </w:tcMar>
            <w:vAlign w:val="bottom"/>
            <w:hideMark/>
          </w:tcPr>
          <w:p w14:paraId="2D6FF66B" w14:textId="77777777" w:rsidR="00F82085" w:rsidRPr="00D46972" w:rsidRDefault="00F82085" w:rsidP="00F85F94">
            <w:pPr>
              <w:rPr>
                <w:rFonts w:ascii="Times New Roman" w:eastAsia="Times New Roman" w:hAnsi="Times New Roman"/>
                <w:lang w:eastAsia="en-GB"/>
              </w:rPr>
            </w:pPr>
          </w:p>
        </w:tc>
        <w:tc>
          <w:tcPr>
            <w:tcW w:w="236" w:type="dxa"/>
            <w:noWrap/>
            <w:tcMar>
              <w:top w:w="0" w:type="dxa"/>
              <w:left w:w="108" w:type="dxa"/>
              <w:bottom w:w="0" w:type="dxa"/>
              <w:right w:w="108" w:type="dxa"/>
            </w:tcMar>
            <w:vAlign w:val="bottom"/>
            <w:hideMark/>
          </w:tcPr>
          <w:p w14:paraId="3B4D3AA4" w14:textId="77777777" w:rsidR="00F82085" w:rsidRPr="00D46972" w:rsidRDefault="00F82085" w:rsidP="00F85F94">
            <w:pPr>
              <w:rPr>
                <w:rFonts w:ascii="Times New Roman" w:eastAsia="Times New Roman" w:hAnsi="Times New Roman"/>
                <w:lang w:eastAsia="en-GB"/>
              </w:rPr>
            </w:pPr>
          </w:p>
        </w:tc>
        <w:tc>
          <w:tcPr>
            <w:tcW w:w="1846" w:type="dxa"/>
            <w:noWrap/>
            <w:tcMar>
              <w:top w:w="0" w:type="dxa"/>
              <w:left w:w="108" w:type="dxa"/>
              <w:bottom w:w="0" w:type="dxa"/>
              <w:right w:w="108" w:type="dxa"/>
            </w:tcMar>
            <w:vAlign w:val="bottom"/>
            <w:hideMark/>
          </w:tcPr>
          <w:p w14:paraId="1CCF8244" w14:textId="77777777" w:rsidR="00F82085" w:rsidRPr="00D46972" w:rsidRDefault="00F82085" w:rsidP="00F85F94">
            <w:pPr>
              <w:rPr>
                <w:rFonts w:ascii="Times New Roman" w:eastAsia="Times New Roman" w:hAnsi="Times New Roman"/>
                <w:lang w:eastAsia="en-GB"/>
              </w:rPr>
            </w:pPr>
          </w:p>
        </w:tc>
      </w:tr>
      <w:tr w:rsidR="00F82085" w:rsidRPr="00D46972" w14:paraId="7F0C2AE7" w14:textId="77777777" w:rsidTr="00F85F94">
        <w:trPr>
          <w:trHeight w:val="375"/>
        </w:trPr>
        <w:tc>
          <w:tcPr>
            <w:tcW w:w="27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1A4EBB" w14:textId="77777777" w:rsidR="00F82085" w:rsidRPr="00D46972" w:rsidRDefault="00F82085" w:rsidP="00F85F94">
            <w:pPr>
              <w:jc w:val="center"/>
              <w:rPr>
                <w:b/>
                <w:bCs/>
                <w:color w:val="000000"/>
                <w:lang w:eastAsia="en-GB"/>
              </w:rPr>
            </w:pPr>
            <w:r w:rsidRPr="00D46972">
              <w:rPr>
                <w:b/>
                <w:bCs/>
                <w:color w:val="000000"/>
                <w:lang w:eastAsia="en-GB"/>
              </w:rPr>
              <w:t>Loan book (</w:t>
            </w:r>
            <w:proofErr w:type="gramStart"/>
            <w:r w:rsidRPr="00D46972">
              <w:rPr>
                <w:b/>
                <w:bCs/>
                <w:color w:val="000000"/>
                <w:lang w:eastAsia="en-GB"/>
              </w:rPr>
              <w:t>£)*</w:t>
            </w:r>
            <w:proofErr w:type="gramEnd"/>
          </w:p>
        </w:tc>
        <w:tc>
          <w:tcPr>
            <w:tcW w:w="19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4B3866" w14:textId="77777777" w:rsidR="00F82085" w:rsidRPr="00D46972" w:rsidRDefault="00F82085" w:rsidP="00F85F94">
            <w:pPr>
              <w:jc w:val="center"/>
              <w:rPr>
                <w:b/>
                <w:bCs/>
                <w:color w:val="000000"/>
                <w:lang w:eastAsia="en-GB"/>
              </w:rPr>
            </w:pPr>
            <w:r w:rsidRPr="00D46972">
              <w:rPr>
                <w:b/>
                <w:bCs/>
                <w:lang w:eastAsia="en-GB"/>
              </w:rPr>
              <w:t>+5.8%*</w:t>
            </w:r>
          </w:p>
        </w:tc>
        <w:tc>
          <w:tcPr>
            <w:tcW w:w="236" w:type="dxa"/>
            <w:noWrap/>
            <w:tcMar>
              <w:top w:w="0" w:type="dxa"/>
              <w:left w:w="108" w:type="dxa"/>
              <w:bottom w:w="0" w:type="dxa"/>
              <w:right w:w="108" w:type="dxa"/>
            </w:tcMar>
            <w:vAlign w:val="bottom"/>
            <w:hideMark/>
          </w:tcPr>
          <w:p w14:paraId="48BF5A13" w14:textId="77777777" w:rsidR="00F82085" w:rsidRPr="00D46972" w:rsidRDefault="00F82085" w:rsidP="00F85F94">
            <w:pPr>
              <w:rPr>
                <w:rFonts w:ascii="Times New Roman" w:eastAsia="Times New Roman" w:hAnsi="Times New Roman"/>
                <w:lang w:eastAsia="en-GB"/>
              </w:rPr>
            </w:pPr>
          </w:p>
        </w:tc>
        <w:tc>
          <w:tcPr>
            <w:tcW w:w="1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EF6D81" w14:textId="77777777" w:rsidR="00F82085" w:rsidRPr="00D46972" w:rsidRDefault="00F82085" w:rsidP="00F85F94">
            <w:pPr>
              <w:jc w:val="center"/>
              <w:rPr>
                <w:b/>
                <w:bCs/>
                <w:color w:val="000000"/>
                <w:lang w:eastAsia="en-GB"/>
              </w:rPr>
            </w:pPr>
            <w:r w:rsidRPr="00D46972">
              <w:rPr>
                <w:b/>
                <w:bCs/>
                <w:lang w:eastAsia="en-GB"/>
              </w:rPr>
              <w:t>+10.6%*</w:t>
            </w:r>
          </w:p>
        </w:tc>
        <w:tc>
          <w:tcPr>
            <w:tcW w:w="236" w:type="dxa"/>
            <w:noWrap/>
            <w:tcMar>
              <w:top w:w="0" w:type="dxa"/>
              <w:left w:w="108" w:type="dxa"/>
              <w:bottom w:w="0" w:type="dxa"/>
              <w:right w:w="108" w:type="dxa"/>
            </w:tcMar>
            <w:vAlign w:val="bottom"/>
            <w:hideMark/>
          </w:tcPr>
          <w:p w14:paraId="4F48EF90" w14:textId="77777777" w:rsidR="00F82085" w:rsidRPr="00D46972" w:rsidRDefault="00F82085" w:rsidP="00F85F94">
            <w:pPr>
              <w:rPr>
                <w:rFonts w:ascii="Times New Roman" w:eastAsia="Times New Roman" w:hAnsi="Times New Roman"/>
                <w:lang w:eastAsia="en-GB"/>
              </w:rPr>
            </w:pPr>
          </w:p>
        </w:tc>
        <w:tc>
          <w:tcPr>
            <w:tcW w:w="18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1B5156" w14:textId="77777777" w:rsidR="00F82085" w:rsidRPr="00D46972" w:rsidRDefault="00F82085" w:rsidP="00F85F94">
            <w:pPr>
              <w:rPr>
                <w:b/>
                <w:bCs/>
                <w:lang w:eastAsia="en-GB"/>
              </w:rPr>
            </w:pPr>
            <w:r w:rsidRPr="00D46972">
              <w:rPr>
                <w:b/>
                <w:bCs/>
                <w:lang w:eastAsia="en-GB"/>
              </w:rPr>
              <w:t>     +10.6%*</w:t>
            </w:r>
          </w:p>
        </w:tc>
      </w:tr>
      <w:tr w:rsidR="00F82085" w:rsidRPr="00D46972" w14:paraId="707ECD43" w14:textId="77777777" w:rsidTr="00F85F94">
        <w:trPr>
          <w:trHeight w:val="70"/>
        </w:trPr>
        <w:tc>
          <w:tcPr>
            <w:tcW w:w="2709" w:type="dxa"/>
            <w:noWrap/>
            <w:tcMar>
              <w:top w:w="0" w:type="dxa"/>
              <w:left w:w="108" w:type="dxa"/>
              <w:bottom w:w="0" w:type="dxa"/>
              <w:right w:w="108" w:type="dxa"/>
            </w:tcMar>
            <w:vAlign w:val="bottom"/>
            <w:hideMark/>
          </w:tcPr>
          <w:p w14:paraId="10D6D7E2" w14:textId="77777777" w:rsidR="00F82085" w:rsidRPr="00D46972" w:rsidRDefault="00F82085" w:rsidP="00F85F94">
            <w:pPr>
              <w:rPr>
                <w:rFonts w:ascii="Times New Roman" w:eastAsia="Times New Roman" w:hAnsi="Times New Roman"/>
                <w:lang w:eastAsia="en-GB"/>
              </w:rPr>
            </w:pPr>
          </w:p>
        </w:tc>
        <w:tc>
          <w:tcPr>
            <w:tcW w:w="1933" w:type="dxa"/>
            <w:noWrap/>
            <w:tcMar>
              <w:top w:w="0" w:type="dxa"/>
              <w:left w:w="108" w:type="dxa"/>
              <w:bottom w:w="0" w:type="dxa"/>
              <w:right w:w="108" w:type="dxa"/>
            </w:tcMar>
            <w:vAlign w:val="bottom"/>
          </w:tcPr>
          <w:p w14:paraId="1D24A53D" w14:textId="77777777" w:rsidR="00F82085" w:rsidRPr="00D46972" w:rsidRDefault="00F82085" w:rsidP="00F85F94">
            <w:pPr>
              <w:jc w:val="center"/>
              <w:rPr>
                <w:b/>
                <w:bCs/>
                <w:color w:val="000000"/>
                <w:lang w:eastAsia="en-GB"/>
              </w:rPr>
            </w:pPr>
          </w:p>
        </w:tc>
        <w:tc>
          <w:tcPr>
            <w:tcW w:w="236" w:type="dxa"/>
            <w:noWrap/>
            <w:tcMar>
              <w:top w:w="0" w:type="dxa"/>
              <w:left w:w="108" w:type="dxa"/>
              <w:bottom w:w="0" w:type="dxa"/>
              <w:right w:w="108" w:type="dxa"/>
            </w:tcMar>
            <w:vAlign w:val="bottom"/>
            <w:hideMark/>
          </w:tcPr>
          <w:p w14:paraId="21E3C81D" w14:textId="77777777" w:rsidR="00F82085" w:rsidRPr="00D46972" w:rsidRDefault="00F82085" w:rsidP="00F85F94">
            <w:pPr>
              <w:rPr>
                <w:rFonts w:ascii="Times New Roman" w:eastAsia="Times New Roman" w:hAnsi="Times New Roman"/>
                <w:lang w:eastAsia="en-GB"/>
              </w:rPr>
            </w:pPr>
          </w:p>
        </w:tc>
        <w:tc>
          <w:tcPr>
            <w:tcW w:w="1860" w:type="dxa"/>
            <w:noWrap/>
            <w:tcMar>
              <w:top w:w="0" w:type="dxa"/>
              <w:left w:w="108" w:type="dxa"/>
              <w:bottom w:w="0" w:type="dxa"/>
              <w:right w:w="108" w:type="dxa"/>
            </w:tcMar>
            <w:vAlign w:val="bottom"/>
            <w:hideMark/>
          </w:tcPr>
          <w:p w14:paraId="3A80C7CB" w14:textId="77777777" w:rsidR="00F82085" w:rsidRPr="00D46972" w:rsidRDefault="00F82085" w:rsidP="00F85F94">
            <w:pPr>
              <w:rPr>
                <w:rFonts w:ascii="Times New Roman" w:eastAsia="Times New Roman" w:hAnsi="Times New Roman"/>
                <w:lang w:eastAsia="en-GB"/>
              </w:rPr>
            </w:pPr>
          </w:p>
        </w:tc>
        <w:tc>
          <w:tcPr>
            <w:tcW w:w="236" w:type="dxa"/>
            <w:noWrap/>
            <w:tcMar>
              <w:top w:w="0" w:type="dxa"/>
              <w:left w:w="108" w:type="dxa"/>
              <w:bottom w:w="0" w:type="dxa"/>
              <w:right w:w="108" w:type="dxa"/>
            </w:tcMar>
            <w:vAlign w:val="bottom"/>
            <w:hideMark/>
          </w:tcPr>
          <w:p w14:paraId="797D869E" w14:textId="77777777" w:rsidR="00F82085" w:rsidRPr="00D46972" w:rsidRDefault="00F82085" w:rsidP="00F85F94">
            <w:pPr>
              <w:rPr>
                <w:rFonts w:ascii="Times New Roman" w:eastAsia="Times New Roman" w:hAnsi="Times New Roman"/>
                <w:lang w:eastAsia="en-GB"/>
              </w:rPr>
            </w:pPr>
          </w:p>
        </w:tc>
        <w:tc>
          <w:tcPr>
            <w:tcW w:w="1846" w:type="dxa"/>
            <w:noWrap/>
            <w:tcMar>
              <w:top w:w="0" w:type="dxa"/>
              <w:left w:w="108" w:type="dxa"/>
              <w:bottom w:w="0" w:type="dxa"/>
              <w:right w:w="108" w:type="dxa"/>
            </w:tcMar>
            <w:vAlign w:val="bottom"/>
            <w:hideMark/>
          </w:tcPr>
          <w:p w14:paraId="5FA24D5D" w14:textId="77777777" w:rsidR="00F82085" w:rsidRPr="00D46972" w:rsidRDefault="00F82085" w:rsidP="00F85F94">
            <w:pPr>
              <w:rPr>
                <w:rFonts w:ascii="Times New Roman" w:eastAsia="Times New Roman" w:hAnsi="Times New Roman"/>
                <w:lang w:eastAsia="en-GB"/>
              </w:rPr>
            </w:pPr>
          </w:p>
        </w:tc>
      </w:tr>
      <w:tr w:rsidR="00F82085" w:rsidRPr="00D46972" w14:paraId="45176F9D" w14:textId="77777777" w:rsidTr="00F85F94">
        <w:trPr>
          <w:trHeight w:val="375"/>
        </w:trPr>
        <w:tc>
          <w:tcPr>
            <w:tcW w:w="27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5736F" w14:textId="77777777" w:rsidR="00F82085" w:rsidRPr="00D46972" w:rsidRDefault="00F82085" w:rsidP="00F85F94">
            <w:pPr>
              <w:jc w:val="center"/>
              <w:rPr>
                <w:b/>
                <w:bCs/>
                <w:color w:val="000000"/>
                <w:lang w:eastAsia="en-GB"/>
              </w:rPr>
            </w:pPr>
            <w:r w:rsidRPr="00D46972">
              <w:rPr>
                <w:b/>
                <w:bCs/>
                <w:color w:val="000000"/>
                <w:lang w:eastAsia="en-GB"/>
              </w:rPr>
              <w:t>Applications (£)</w:t>
            </w:r>
          </w:p>
        </w:tc>
        <w:tc>
          <w:tcPr>
            <w:tcW w:w="19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7A38F9" w14:textId="77777777" w:rsidR="00F82085" w:rsidRPr="00D46972" w:rsidRDefault="00F82085" w:rsidP="00F85F94">
            <w:pPr>
              <w:jc w:val="center"/>
              <w:rPr>
                <w:b/>
                <w:bCs/>
                <w:color w:val="000000"/>
                <w:lang w:eastAsia="en-GB"/>
              </w:rPr>
            </w:pPr>
            <w:r w:rsidRPr="00D46972">
              <w:rPr>
                <w:b/>
                <w:bCs/>
                <w:color w:val="000000"/>
                <w:lang w:eastAsia="en-GB"/>
              </w:rPr>
              <w:t>+0.9%</w:t>
            </w:r>
          </w:p>
        </w:tc>
        <w:tc>
          <w:tcPr>
            <w:tcW w:w="236" w:type="dxa"/>
            <w:noWrap/>
            <w:tcMar>
              <w:top w:w="0" w:type="dxa"/>
              <w:left w:w="108" w:type="dxa"/>
              <w:bottom w:w="0" w:type="dxa"/>
              <w:right w:w="108" w:type="dxa"/>
            </w:tcMar>
            <w:vAlign w:val="bottom"/>
            <w:hideMark/>
          </w:tcPr>
          <w:p w14:paraId="4EE88584" w14:textId="77777777" w:rsidR="00F82085" w:rsidRPr="00D46972" w:rsidRDefault="00F82085" w:rsidP="00F85F94">
            <w:pPr>
              <w:rPr>
                <w:rFonts w:ascii="Times New Roman" w:eastAsia="Times New Roman" w:hAnsi="Times New Roman"/>
                <w:lang w:eastAsia="en-GB"/>
              </w:rPr>
            </w:pPr>
          </w:p>
        </w:tc>
        <w:tc>
          <w:tcPr>
            <w:tcW w:w="1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5709B8" w14:textId="77777777" w:rsidR="00F82085" w:rsidRPr="00D46972" w:rsidRDefault="00F82085" w:rsidP="00F85F94">
            <w:pPr>
              <w:rPr>
                <w:b/>
                <w:bCs/>
                <w:color w:val="000000"/>
                <w:lang w:eastAsia="en-GB"/>
              </w:rPr>
            </w:pPr>
            <w:r w:rsidRPr="00D46972">
              <w:rPr>
                <w:b/>
                <w:bCs/>
                <w:color w:val="000000"/>
                <w:lang w:eastAsia="en-GB"/>
              </w:rPr>
              <w:t>     +39.6%</w:t>
            </w:r>
          </w:p>
        </w:tc>
        <w:tc>
          <w:tcPr>
            <w:tcW w:w="236" w:type="dxa"/>
            <w:noWrap/>
            <w:tcMar>
              <w:top w:w="0" w:type="dxa"/>
              <w:left w:w="108" w:type="dxa"/>
              <w:bottom w:w="0" w:type="dxa"/>
              <w:right w:w="108" w:type="dxa"/>
            </w:tcMar>
            <w:vAlign w:val="bottom"/>
            <w:hideMark/>
          </w:tcPr>
          <w:p w14:paraId="2B1CBFD9" w14:textId="77777777" w:rsidR="00F82085" w:rsidRPr="00D46972" w:rsidRDefault="00F82085" w:rsidP="00F85F94">
            <w:pPr>
              <w:rPr>
                <w:rFonts w:ascii="Times New Roman" w:eastAsia="Times New Roman" w:hAnsi="Times New Roman"/>
                <w:lang w:eastAsia="en-GB"/>
              </w:rPr>
            </w:pPr>
          </w:p>
        </w:tc>
        <w:tc>
          <w:tcPr>
            <w:tcW w:w="18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F89FCF" w14:textId="77777777" w:rsidR="00F82085" w:rsidRPr="00D46972" w:rsidRDefault="00F82085" w:rsidP="00F85F94">
            <w:pPr>
              <w:rPr>
                <w:b/>
                <w:bCs/>
                <w:lang w:eastAsia="en-GB"/>
              </w:rPr>
            </w:pPr>
            <w:r w:rsidRPr="00D46972">
              <w:rPr>
                <w:b/>
                <w:bCs/>
                <w:lang w:eastAsia="en-GB"/>
              </w:rPr>
              <w:t>      +56.6%</w:t>
            </w:r>
          </w:p>
        </w:tc>
      </w:tr>
      <w:tr w:rsidR="00F82085" w:rsidRPr="00D46972" w14:paraId="1C63C131" w14:textId="77777777" w:rsidTr="00F85F94">
        <w:trPr>
          <w:trHeight w:val="102"/>
        </w:trPr>
        <w:tc>
          <w:tcPr>
            <w:tcW w:w="2709" w:type="dxa"/>
            <w:noWrap/>
            <w:tcMar>
              <w:top w:w="0" w:type="dxa"/>
              <w:left w:w="108" w:type="dxa"/>
              <w:bottom w:w="0" w:type="dxa"/>
              <w:right w:w="108" w:type="dxa"/>
            </w:tcMar>
            <w:vAlign w:val="bottom"/>
            <w:hideMark/>
          </w:tcPr>
          <w:p w14:paraId="2F21A258" w14:textId="77777777" w:rsidR="00F82085" w:rsidRPr="00D46972" w:rsidRDefault="00F82085" w:rsidP="00F85F94">
            <w:pPr>
              <w:rPr>
                <w:rFonts w:ascii="Times New Roman" w:eastAsia="Times New Roman" w:hAnsi="Times New Roman"/>
                <w:lang w:eastAsia="en-GB"/>
              </w:rPr>
            </w:pPr>
          </w:p>
        </w:tc>
        <w:tc>
          <w:tcPr>
            <w:tcW w:w="1933" w:type="dxa"/>
            <w:noWrap/>
            <w:tcMar>
              <w:top w:w="0" w:type="dxa"/>
              <w:left w:w="108" w:type="dxa"/>
              <w:bottom w:w="0" w:type="dxa"/>
              <w:right w:w="108" w:type="dxa"/>
            </w:tcMar>
            <w:vAlign w:val="bottom"/>
          </w:tcPr>
          <w:p w14:paraId="385DC84F" w14:textId="77777777" w:rsidR="00F82085" w:rsidRPr="00D46972" w:rsidRDefault="00F82085" w:rsidP="00F85F94">
            <w:pPr>
              <w:jc w:val="center"/>
              <w:rPr>
                <w:b/>
                <w:bCs/>
                <w:color w:val="000000"/>
                <w:lang w:eastAsia="en-GB"/>
              </w:rPr>
            </w:pPr>
          </w:p>
        </w:tc>
        <w:tc>
          <w:tcPr>
            <w:tcW w:w="236" w:type="dxa"/>
            <w:noWrap/>
            <w:tcMar>
              <w:top w:w="0" w:type="dxa"/>
              <w:left w:w="108" w:type="dxa"/>
              <w:bottom w:w="0" w:type="dxa"/>
              <w:right w:w="108" w:type="dxa"/>
            </w:tcMar>
            <w:vAlign w:val="bottom"/>
            <w:hideMark/>
          </w:tcPr>
          <w:p w14:paraId="00DA5D56" w14:textId="77777777" w:rsidR="00F82085" w:rsidRPr="00D46972" w:rsidRDefault="00F82085" w:rsidP="00F85F94">
            <w:pPr>
              <w:rPr>
                <w:rFonts w:ascii="Times New Roman" w:eastAsia="Times New Roman" w:hAnsi="Times New Roman"/>
                <w:lang w:eastAsia="en-GB"/>
              </w:rPr>
            </w:pPr>
          </w:p>
        </w:tc>
        <w:tc>
          <w:tcPr>
            <w:tcW w:w="1860" w:type="dxa"/>
            <w:noWrap/>
            <w:tcMar>
              <w:top w:w="0" w:type="dxa"/>
              <w:left w:w="108" w:type="dxa"/>
              <w:bottom w:w="0" w:type="dxa"/>
              <w:right w:w="108" w:type="dxa"/>
            </w:tcMar>
            <w:vAlign w:val="bottom"/>
            <w:hideMark/>
          </w:tcPr>
          <w:p w14:paraId="543B6F87" w14:textId="77777777" w:rsidR="00F82085" w:rsidRPr="00D46972" w:rsidRDefault="00F82085" w:rsidP="00F85F94">
            <w:pPr>
              <w:rPr>
                <w:rFonts w:ascii="Times New Roman" w:eastAsia="Times New Roman" w:hAnsi="Times New Roman"/>
                <w:lang w:eastAsia="en-GB"/>
              </w:rPr>
            </w:pPr>
          </w:p>
        </w:tc>
        <w:tc>
          <w:tcPr>
            <w:tcW w:w="236" w:type="dxa"/>
            <w:noWrap/>
            <w:tcMar>
              <w:top w:w="0" w:type="dxa"/>
              <w:left w:w="108" w:type="dxa"/>
              <w:bottom w:w="0" w:type="dxa"/>
              <w:right w:w="108" w:type="dxa"/>
            </w:tcMar>
            <w:vAlign w:val="bottom"/>
            <w:hideMark/>
          </w:tcPr>
          <w:p w14:paraId="07326C3C" w14:textId="77777777" w:rsidR="00F82085" w:rsidRPr="00D46972" w:rsidRDefault="00F82085" w:rsidP="00F85F94">
            <w:pPr>
              <w:rPr>
                <w:rFonts w:ascii="Times New Roman" w:eastAsia="Times New Roman" w:hAnsi="Times New Roman"/>
                <w:lang w:eastAsia="en-GB"/>
              </w:rPr>
            </w:pPr>
          </w:p>
        </w:tc>
        <w:tc>
          <w:tcPr>
            <w:tcW w:w="1846" w:type="dxa"/>
            <w:noWrap/>
            <w:tcMar>
              <w:top w:w="0" w:type="dxa"/>
              <w:left w:w="108" w:type="dxa"/>
              <w:bottom w:w="0" w:type="dxa"/>
              <w:right w:w="108" w:type="dxa"/>
            </w:tcMar>
            <w:vAlign w:val="bottom"/>
            <w:hideMark/>
          </w:tcPr>
          <w:p w14:paraId="346EDEBD" w14:textId="77777777" w:rsidR="00F82085" w:rsidRPr="00D46972" w:rsidRDefault="00F82085" w:rsidP="00F85F94">
            <w:pPr>
              <w:rPr>
                <w:rFonts w:ascii="Times New Roman" w:eastAsia="Times New Roman" w:hAnsi="Times New Roman"/>
                <w:lang w:eastAsia="en-GB"/>
              </w:rPr>
            </w:pPr>
          </w:p>
        </w:tc>
      </w:tr>
      <w:tr w:rsidR="00F82085" w:rsidRPr="00D46972" w14:paraId="351ACBA0" w14:textId="77777777" w:rsidTr="00F82085">
        <w:trPr>
          <w:trHeight w:val="142"/>
        </w:trPr>
        <w:tc>
          <w:tcPr>
            <w:tcW w:w="2709" w:type="dxa"/>
            <w:noWrap/>
            <w:tcMar>
              <w:top w:w="0" w:type="dxa"/>
              <w:left w:w="108" w:type="dxa"/>
              <w:bottom w:w="0" w:type="dxa"/>
              <w:right w:w="108" w:type="dxa"/>
            </w:tcMar>
            <w:vAlign w:val="bottom"/>
          </w:tcPr>
          <w:p w14:paraId="5E93C6A1" w14:textId="77777777" w:rsidR="00F82085" w:rsidRPr="00D46972" w:rsidRDefault="00F82085" w:rsidP="00F85F94">
            <w:pPr>
              <w:spacing w:line="142" w:lineRule="atLeast"/>
              <w:ind w:right="-6061"/>
              <w:rPr>
                <w:b/>
                <w:bCs/>
                <w:color w:val="000000"/>
                <w:lang w:eastAsia="en-GB"/>
              </w:rPr>
            </w:pPr>
          </w:p>
        </w:tc>
        <w:tc>
          <w:tcPr>
            <w:tcW w:w="1933" w:type="dxa"/>
            <w:noWrap/>
            <w:tcMar>
              <w:top w:w="0" w:type="dxa"/>
              <w:left w:w="108" w:type="dxa"/>
              <w:bottom w:w="0" w:type="dxa"/>
              <w:right w:w="108" w:type="dxa"/>
            </w:tcMar>
            <w:vAlign w:val="bottom"/>
          </w:tcPr>
          <w:p w14:paraId="6637F942" w14:textId="77777777" w:rsidR="00F82085" w:rsidRPr="00D46972" w:rsidRDefault="00F82085" w:rsidP="00F85F94">
            <w:pPr>
              <w:jc w:val="center"/>
              <w:rPr>
                <w:b/>
                <w:bCs/>
                <w:color w:val="000000"/>
                <w:lang w:eastAsia="en-GB"/>
              </w:rPr>
            </w:pPr>
          </w:p>
        </w:tc>
        <w:tc>
          <w:tcPr>
            <w:tcW w:w="236" w:type="dxa"/>
            <w:noWrap/>
            <w:tcMar>
              <w:top w:w="0" w:type="dxa"/>
              <w:left w:w="108" w:type="dxa"/>
              <w:bottom w:w="0" w:type="dxa"/>
              <w:right w:w="108" w:type="dxa"/>
            </w:tcMar>
            <w:vAlign w:val="bottom"/>
          </w:tcPr>
          <w:p w14:paraId="0C6252F7" w14:textId="77777777" w:rsidR="00F82085" w:rsidRPr="00D46972" w:rsidRDefault="00F82085" w:rsidP="00F85F94">
            <w:pPr>
              <w:rPr>
                <w:rFonts w:ascii="Times New Roman" w:eastAsia="Times New Roman" w:hAnsi="Times New Roman"/>
                <w:lang w:eastAsia="en-GB"/>
              </w:rPr>
            </w:pPr>
          </w:p>
        </w:tc>
        <w:tc>
          <w:tcPr>
            <w:tcW w:w="1860" w:type="dxa"/>
            <w:noWrap/>
            <w:tcMar>
              <w:top w:w="0" w:type="dxa"/>
              <w:left w:w="108" w:type="dxa"/>
              <w:bottom w:w="0" w:type="dxa"/>
              <w:right w:w="108" w:type="dxa"/>
            </w:tcMar>
            <w:vAlign w:val="bottom"/>
          </w:tcPr>
          <w:p w14:paraId="3315761E" w14:textId="77777777" w:rsidR="00F82085" w:rsidRPr="00D46972" w:rsidRDefault="00F82085" w:rsidP="00F85F94">
            <w:pPr>
              <w:rPr>
                <w:rFonts w:ascii="Times New Roman" w:eastAsia="Times New Roman" w:hAnsi="Times New Roman"/>
                <w:lang w:eastAsia="en-GB"/>
              </w:rPr>
            </w:pPr>
          </w:p>
        </w:tc>
        <w:tc>
          <w:tcPr>
            <w:tcW w:w="236" w:type="dxa"/>
            <w:noWrap/>
            <w:tcMar>
              <w:top w:w="0" w:type="dxa"/>
              <w:left w:w="108" w:type="dxa"/>
              <w:bottom w:w="0" w:type="dxa"/>
              <w:right w:w="108" w:type="dxa"/>
            </w:tcMar>
            <w:vAlign w:val="bottom"/>
          </w:tcPr>
          <w:p w14:paraId="59613311" w14:textId="77777777" w:rsidR="00F82085" w:rsidRPr="00D46972" w:rsidRDefault="00F82085" w:rsidP="00F85F94">
            <w:pPr>
              <w:rPr>
                <w:rFonts w:ascii="Times New Roman" w:eastAsia="Times New Roman" w:hAnsi="Times New Roman"/>
                <w:lang w:eastAsia="en-GB"/>
              </w:rPr>
            </w:pPr>
          </w:p>
        </w:tc>
        <w:tc>
          <w:tcPr>
            <w:tcW w:w="1846" w:type="dxa"/>
            <w:noWrap/>
            <w:tcMar>
              <w:top w:w="0" w:type="dxa"/>
              <w:left w:w="108" w:type="dxa"/>
              <w:bottom w:w="0" w:type="dxa"/>
              <w:right w:w="108" w:type="dxa"/>
            </w:tcMar>
            <w:vAlign w:val="bottom"/>
          </w:tcPr>
          <w:p w14:paraId="00F0E8AC" w14:textId="77777777" w:rsidR="00F82085" w:rsidRPr="00D46972" w:rsidRDefault="00F82085" w:rsidP="00F85F94">
            <w:pPr>
              <w:rPr>
                <w:rFonts w:ascii="Times New Roman" w:eastAsia="Times New Roman" w:hAnsi="Times New Roman"/>
                <w:lang w:eastAsia="en-GB"/>
              </w:rPr>
            </w:pPr>
          </w:p>
        </w:tc>
      </w:tr>
    </w:tbl>
    <w:p w14:paraId="42D4D804" w14:textId="77777777" w:rsidR="007C33DD" w:rsidRPr="00D46972" w:rsidRDefault="007C33DD" w:rsidP="007C33DD">
      <w:pPr>
        <w:spacing w:line="360" w:lineRule="auto"/>
        <w:jc w:val="center"/>
      </w:pPr>
      <w:r w:rsidRPr="00D46972">
        <w:lastRenderedPageBreak/>
        <w:t xml:space="preserve">- ENDS - </w:t>
      </w:r>
    </w:p>
    <w:p w14:paraId="7A6FEA64" w14:textId="77777777" w:rsidR="007C33DD" w:rsidRPr="000C2356" w:rsidRDefault="007C33DD" w:rsidP="007C33DD">
      <w:r w:rsidRPr="000C2356">
        <w:t>For further information please contact:</w:t>
      </w:r>
    </w:p>
    <w:p w14:paraId="327FEF79" w14:textId="77777777" w:rsidR="007C33DD" w:rsidRPr="000C2356" w:rsidRDefault="007C33DD" w:rsidP="007C33DD">
      <w:r w:rsidRPr="000C2356">
        <w:t>Name:</w:t>
      </w:r>
      <w:r w:rsidRPr="000C2356">
        <w:tab/>
      </w:r>
      <w:r w:rsidRPr="000C2356">
        <w:tab/>
        <w:t>Debbie Staveley, bClear Communications</w:t>
      </w:r>
    </w:p>
    <w:p w14:paraId="7112B338" w14:textId="77777777" w:rsidR="007C33DD" w:rsidRPr="000C2356" w:rsidRDefault="007C33DD" w:rsidP="007C33DD">
      <w:r w:rsidRPr="000C2356">
        <w:t xml:space="preserve">Telephone: </w:t>
      </w:r>
      <w:r w:rsidRPr="000C2356">
        <w:tab/>
        <w:t>0771 896 8434 (m) or 01275 542511 (d)</w:t>
      </w:r>
    </w:p>
    <w:p w14:paraId="7572695F" w14:textId="77777777" w:rsidR="007C33DD" w:rsidRDefault="007C33DD" w:rsidP="007C33DD">
      <w:r w:rsidRPr="000C2356">
        <w:t>E-mail:</w:t>
      </w:r>
      <w:r w:rsidRPr="000C2356">
        <w:tab/>
      </w:r>
      <w:r w:rsidRPr="000C2356">
        <w:tab/>
      </w:r>
      <w:hyperlink r:id="rId6" w:history="1">
        <w:r w:rsidRPr="000C2356">
          <w:rPr>
            <w:rStyle w:val="Hyperlink"/>
          </w:rPr>
          <w:t>debbie.staveley@bclear.co.uk</w:t>
        </w:r>
      </w:hyperlink>
    </w:p>
    <w:p w14:paraId="41414F6F" w14:textId="77777777" w:rsidR="007C33DD" w:rsidRDefault="007C33DD" w:rsidP="007C33DD"/>
    <w:p w14:paraId="01911AC9" w14:textId="77777777" w:rsidR="00F70598" w:rsidRDefault="00F70598"/>
    <w:p w14:paraId="36BD531B" w14:textId="77777777" w:rsidR="00D81CF7" w:rsidRDefault="00D81CF7"/>
    <w:sectPr w:rsidR="00D81CF7" w:rsidSect="00F836EA">
      <w:head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D776" w14:textId="77777777" w:rsidR="00590FFE" w:rsidRDefault="00590FFE" w:rsidP="00D46972">
      <w:r>
        <w:separator/>
      </w:r>
    </w:p>
  </w:endnote>
  <w:endnote w:type="continuationSeparator" w:id="0">
    <w:p w14:paraId="50A4B367" w14:textId="77777777" w:rsidR="00590FFE" w:rsidRDefault="00590FFE" w:rsidP="00D4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3B2D" w14:textId="77777777" w:rsidR="00590FFE" w:rsidRDefault="00590FFE" w:rsidP="00D46972">
      <w:r>
        <w:separator/>
      </w:r>
    </w:p>
  </w:footnote>
  <w:footnote w:type="continuationSeparator" w:id="0">
    <w:p w14:paraId="1C2BBEDA" w14:textId="77777777" w:rsidR="00590FFE" w:rsidRDefault="00590FFE" w:rsidP="00D4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448A" w14:textId="06D31DEC" w:rsidR="00D46972" w:rsidRDefault="00D46972">
    <w:pPr>
      <w:pStyle w:val="Header"/>
    </w:pPr>
    <w:r>
      <w:rPr>
        <w:noProof/>
        <w:lang w:eastAsia="en-GB"/>
      </w:rPr>
      <w:drawing>
        <wp:inline distT="0" distB="0" distL="0" distR="0" wp14:anchorId="6C2F9962" wp14:editId="791C3CB5">
          <wp:extent cx="2276475" cy="657225"/>
          <wp:effectExtent l="19050" t="0" r="9525" b="0"/>
          <wp:docPr id="3" name="Picture 0" descr="ast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tl-logo.jpg"/>
                  <pic:cNvPicPr>
                    <a:picLocks noChangeAspect="1" noChangeArrowheads="1"/>
                  </pic:cNvPicPr>
                </pic:nvPicPr>
                <pic:blipFill>
                  <a:blip r:embed="rId1"/>
                  <a:srcRect l="5814"/>
                  <a:stretch>
                    <a:fillRect/>
                  </a:stretch>
                </pic:blipFill>
                <pic:spPr bwMode="auto">
                  <a:xfrm>
                    <a:off x="0" y="0"/>
                    <a:ext cx="2276475" cy="6572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98"/>
    <w:rsid w:val="000A659D"/>
    <w:rsid w:val="000F553E"/>
    <w:rsid w:val="000F63B7"/>
    <w:rsid w:val="00110DCF"/>
    <w:rsid w:val="00135F72"/>
    <w:rsid w:val="001809EB"/>
    <w:rsid w:val="0029280F"/>
    <w:rsid w:val="003834DC"/>
    <w:rsid w:val="003E0F9A"/>
    <w:rsid w:val="004D37FE"/>
    <w:rsid w:val="00590FFE"/>
    <w:rsid w:val="00616FD0"/>
    <w:rsid w:val="006F021D"/>
    <w:rsid w:val="007736F1"/>
    <w:rsid w:val="007C33DD"/>
    <w:rsid w:val="0084705F"/>
    <w:rsid w:val="008F754F"/>
    <w:rsid w:val="00971705"/>
    <w:rsid w:val="00A64566"/>
    <w:rsid w:val="00AF73D0"/>
    <w:rsid w:val="00D46972"/>
    <w:rsid w:val="00D81CF7"/>
    <w:rsid w:val="00DB0EDE"/>
    <w:rsid w:val="00E04F08"/>
    <w:rsid w:val="00E93171"/>
    <w:rsid w:val="00F70598"/>
    <w:rsid w:val="00F718B2"/>
    <w:rsid w:val="00F82085"/>
    <w:rsid w:val="00F8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3AD3"/>
  <w15:docId w15:val="{2E51C4E9-C253-4A61-9E1F-DE83A7BA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5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754F"/>
    <w:rPr>
      <w:sz w:val="16"/>
      <w:szCs w:val="16"/>
    </w:rPr>
  </w:style>
  <w:style w:type="paragraph" w:styleId="CommentText">
    <w:name w:val="annotation text"/>
    <w:basedOn w:val="Normal"/>
    <w:link w:val="CommentTextChar"/>
    <w:uiPriority w:val="99"/>
    <w:semiHidden/>
    <w:unhideWhenUsed/>
    <w:rsid w:val="008F754F"/>
    <w:rPr>
      <w:sz w:val="20"/>
      <w:szCs w:val="20"/>
    </w:rPr>
  </w:style>
  <w:style w:type="character" w:customStyle="1" w:styleId="CommentTextChar">
    <w:name w:val="Comment Text Char"/>
    <w:basedOn w:val="DefaultParagraphFont"/>
    <w:link w:val="CommentText"/>
    <w:uiPriority w:val="99"/>
    <w:semiHidden/>
    <w:rsid w:val="008F75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754F"/>
    <w:rPr>
      <w:b/>
      <w:bCs/>
    </w:rPr>
  </w:style>
  <w:style w:type="character" w:customStyle="1" w:styleId="CommentSubjectChar">
    <w:name w:val="Comment Subject Char"/>
    <w:basedOn w:val="CommentTextChar"/>
    <w:link w:val="CommentSubject"/>
    <w:uiPriority w:val="99"/>
    <w:semiHidden/>
    <w:rsid w:val="008F754F"/>
    <w:rPr>
      <w:rFonts w:ascii="Calibri" w:hAnsi="Calibri" w:cs="Times New Roman"/>
      <w:b/>
      <w:bCs/>
      <w:sz w:val="20"/>
      <w:szCs w:val="20"/>
    </w:rPr>
  </w:style>
  <w:style w:type="paragraph" w:styleId="BalloonText">
    <w:name w:val="Balloon Text"/>
    <w:basedOn w:val="Normal"/>
    <w:link w:val="BalloonTextChar"/>
    <w:uiPriority w:val="99"/>
    <w:semiHidden/>
    <w:unhideWhenUsed/>
    <w:rsid w:val="008F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4F"/>
    <w:rPr>
      <w:rFonts w:ascii="Segoe UI" w:hAnsi="Segoe UI" w:cs="Segoe UI"/>
      <w:sz w:val="18"/>
      <w:szCs w:val="18"/>
    </w:rPr>
  </w:style>
  <w:style w:type="character" w:styleId="Hyperlink">
    <w:name w:val="Hyperlink"/>
    <w:basedOn w:val="DefaultParagraphFont"/>
    <w:uiPriority w:val="99"/>
    <w:rsid w:val="007C33DD"/>
    <w:rPr>
      <w:color w:val="0000FF"/>
      <w:u w:val="single"/>
    </w:rPr>
  </w:style>
  <w:style w:type="paragraph" w:styleId="Revision">
    <w:name w:val="Revision"/>
    <w:hidden/>
    <w:uiPriority w:val="99"/>
    <w:semiHidden/>
    <w:rsid w:val="000F63B7"/>
    <w:pPr>
      <w:spacing w:after="0" w:line="240" w:lineRule="auto"/>
    </w:pPr>
    <w:rPr>
      <w:rFonts w:ascii="Calibri" w:hAnsi="Calibri" w:cs="Times New Roman"/>
    </w:rPr>
  </w:style>
  <w:style w:type="paragraph" w:styleId="Header">
    <w:name w:val="header"/>
    <w:basedOn w:val="Normal"/>
    <w:link w:val="HeaderChar"/>
    <w:uiPriority w:val="99"/>
    <w:unhideWhenUsed/>
    <w:rsid w:val="00D46972"/>
    <w:pPr>
      <w:tabs>
        <w:tab w:val="center" w:pos="4513"/>
        <w:tab w:val="right" w:pos="9026"/>
      </w:tabs>
    </w:pPr>
  </w:style>
  <w:style w:type="character" w:customStyle="1" w:styleId="HeaderChar">
    <w:name w:val="Header Char"/>
    <w:basedOn w:val="DefaultParagraphFont"/>
    <w:link w:val="Header"/>
    <w:uiPriority w:val="99"/>
    <w:rsid w:val="00D46972"/>
    <w:rPr>
      <w:rFonts w:ascii="Calibri" w:hAnsi="Calibri" w:cs="Times New Roman"/>
    </w:rPr>
  </w:style>
  <w:style w:type="paragraph" w:styleId="Footer">
    <w:name w:val="footer"/>
    <w:basedOn w:val="Normal"/>
    <w:link w:val="FooterChar"/>
    <w:uiPriority w:val="99"/>
    <w:unhideWhenUsed/>
    <w:rsid w:val="00D46972"/>
    <w:pPr>
      <w:tabs>
        <w:tab w:val="center" w:pos="4513"/>
        <w:tab w:val="right" w:pos="9026"/>
      </w:tabs>
    </w:pPr>
  </w:style>
  <w:style w:type="character" w:customStyle="1" w:styleId="FooterChar">
    <w:name w:val="Footer Char"/>
    <w:basedOn w:val="DefaultParagraphFont"/>
    <w:link w:val="Footer"/>
    <w:uiPriority w:val="99"/>
    <w:rsid w:val="00D4697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566979">
      <w:bodyDiv w:val="1"/>
      <w:marLeft w:val="0"/>
      <w:marRight w:val="0"/>
      <w:marTop w:val="0"/>
      <w:marBottom w:val="0"/>
      <w:divBdr>
        <w:top w:val="none" w:sz="0" w:space="0" w:color="auto"/>
        <w:left w:val="none" w:sz="0" w:space="0" w:color="auto"/>
        <w:bottom w:val="none" w:sz="0" w:space="0" w:color="auto"/>
        <w:right w:val="none" w:sz="0" w:space="0" w:color="auto"/>
      </w:divBdr>
    </w:div>
    <w:div w:id="17906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bie.staveley@bclear.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Herch</dc:creator>
  <cp:lastModifiedBy>Caroline Long</cp:lastModifiedBy>
  <cp:revision>2</cp:revision>
  <dcterms:created xsi:type="dcterms:W3CDTF">2017-08-17T07:08:00Z</dcterms:created>
  <dcterms:modified xsi:type="dcterms:W3CDTF">2017-08-17T07:08:00Z</dcterms:modified>
</cp:coreProperties>
</file>